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A323" w14:textId="77777777" w:rsidR="00DD2B5A" w:rsidRDefault="00DD2B5A" w:rsidP="007816A1">
      <w:pPr>
        <w:spacing w:line="276" w:lineRule="auto"/>
        <w:ind w:right="1134"/>
      </w:pPr>
    </w:p>
    <w:p w14:paraId="29F5491D" w14:textId="77777777" w:rsidR="00DD2B5A" w:rsidRPr="00F40F38" w:rsidRDefault="00DD2B5A" w:rsidP="00CD5B29">
      <w:pPr>
        <w:pStyle w:val="Rubrik1"/>
      </w:pPr>
      <w:r w:rsidRPr="00F40F38">
        <w:t>ALLMÄNNA VILLKOR FÖR STÖD</w:t>
      </w:r>
    </w:p>
    <w:p w14:paraId="42029761" w14:textId="77777777" w:rsidR="00DD2B5A" w:rsidRPr="00F40F38" w:rsidRDefault="00DD2B5A" w:rsidP="007816A1">
      <w:pPr>
        <w:spacing w:line="276" w:lineRule="auto"/>
        <w:ind w:right="1134"/>
        <w:rPr>
          <w:rFonts w:ascii="Times New Roman" w:hAnsi="Times New Roman"/>
          <w:sz w:val="24"/>
          <w:szCs w:val="24"/>
        </w:rPr>
      </w:pPr>
    </w:p>
    <w:p w14:paraId="787646C4"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 xml:space="preserve">En förutsättning för stöd är att stödmottagaren följer tillämpliga unionsrättsliga och nationella bestämmelser såsom dataskyddsförordningen och lagen om offentlig upphandling samt att projektet genomförs med full respekt för de grundläggande rättigheterna i enlighet med artikel 4 i Förordning (EU) 2021/1149 om inrättande av Fonden för inre säkerhet och Förordning (EU) 2021/1148 om inrättande, som en del av Fonden för integrerad gränsförvaltning, av instrumentet för ekonomiskt stöd för gränsförvaltning och viseringspolitik.  </w:t>
      </w:r>
    </w:p>
    <w:p w14:paraId="6C85C7EF"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 xml:space="preserve">Tillämpliga bestämmelser om Fonden för inre säkerhet (ISF)/Instrumentet för ekonomiskt stöd för gränsförvaltning och viseringspolitik (BMVI) finns på </w:t>
      </w:r>
      <w:hyperlink r:id="rId7" w:history="1">
        <w:r w:rsidRPr="00CD5B29">
          <w:rPr>
            <w:rStyle w:val="Hyperlnk"/>
            <w:rFonts w:asciiTheme="minorHAnsi" w:hAnsiTheme="minorHAnsi" w:cstheme="minorHAnsi"/>
            <w:sz w:val="22"/>
            <w:szCs w:val="22"/>
          </w:rPr>
          <w:t>http://www.polisen.se/isfbmvi</w:t>
        </w:r>
      </w:hyperlink>
      <w:r w:rsidRPr="00CD5B29">
        <w:rPr>
          <w:rFonts w:asciiTheme="minorHAnsi" w:hAnsiTheme="minorHAnsi" w:cstheme="minorHAnsi"/>
          <w:sz w:val="22"/>
          <w:szCs w:val="22"/>
        </w:rPr>
        <w:t>.</w:t>
      </w:r>
    </w:p>
    <w:p w14:paraId="63540A0B"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 xml:space="preserve">Definition av indirekta kostnader finns på </w:t>
      </w:r>
      <w:hyperlink r:id="rId8" w:history="1">
        <w:r w:rsidRPr="00CD5B29">
          <w:rPr>
            <w:rStyle w:val="Hyperlnk"/>
            <w:rFonts w:asciiTheme="minorHAnsi" w:hAnsiTheme="minorHAnsi" w:cstheme="minorHAnsi"/>
            <w:sz w:val="22"/>
            <w:szCs w:val="22"/>
          </w:rPr>
          <w:t>http://www.polisen.se/isfbmvi</w:t>
        </w:r>
      </w:hyperlink>
      <w:r w:rsidRPr="00CD5B29">
        <w:rPr>
          <w:rFonts w:asciiTheme="minorHAnsi" w:hAnsiTheme="minorHAnsi" w:cstheme="minorHAnsi"/>
          <w:sz w:val="22"/>
          <w:szCs w:val="22"/>
        </w:rPr>
        <w:t>.</w:t>
      </w:r>
    </w:p>
    <w:p w14:paraId="2A122954"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 xml:space="preserve">Beslut om stöd gäller under förutsättning att de ekonomiska ramarna för ISF/BMVI inte ändras samt att Stödmottagaren genomför Projektet i enlighet med vad som framgår av detta beslut och förvaltande myndighet bedömer att projektet arbetar mot beslutade mål. </w:t>
      </w:r>
    </w:p>
    <w:p w14:paraId="15C8537C"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Stödmottagaren är ensam ansvarig för att uppfylla de rättsliga och finansiella förpliktelser som föranleds av att driva projekt med stöd från ISF/BMVI. Stödmottagaren kan genomföra Projektet ensam eller tillsammans med godkända projektpartner och/eller underleverantörer. Stödmottagaren ansvarar fullt ut mot Polismyndigheten för att projektpartner, underleverantörer, entreprenörer eller andra parter som utför delar av Projektet följer detta beslut. Stödmottagaren ska även säkerställa att eventuella projektpartner, underleverantörer, entreprenörer och andra parter uppfyller tillämpliga rättsliga och finansiella förpliktelser.</w:t>
      </w:r>
    </w:p>
    <w:p w14:paraId="413778F7" w14:textId="77777777" w:rsidR="00DD2B5A" w:rsidRPr="00CD5B29" w:rsidRDefault="00DD2B5A" w:rsidP="007816A1">
      <w:pPr>
        <w:pStyle w:val="Liststycke"/>
        <w:numPr>
          <w:ilvl w:val="0"/>
          <w:numId w:val="1"/>
        </w:numPr>
        <w:tabs>
          <w:tab w:val="left" w:pos="6804"/>
        </w:tabs>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 xml:space="preserve">Stödmottagaren ansvarar för att tillhandahålla den dokumentation som krävs för att verifiera att kostnader är stödberättigande. </w:t>
      </w:r>
      <w:r w:rsidR="00CD5B29" w:rsidRPr="00CD5B29">
        <w:rPr>
          <w:rFonts w:asciiTheme="minorHAnsi" w:hAnsiTheme="minorHAnsi" w:cstheme="minorHAnsi"/>
          <w:sz w:val="22"/>
          <w:szCs w:val="22"/>
        </w:rPr>
        <w:t>Stödmottagaren ansvarar för att alla relevanta underlag, både räkenskapshandlingar och övriga projektrelaterade handlingar, i original, finns tillgängliga hos Stödmottagaren i minst fem år efter det att sista utbetalningen genomförts alternativt återbetalning mottagi</w:t>
      </w:r>
      <w:r w:rsidR="00CD5B29" w:rsidRPr="006E1E8F">
        <w:rPr>
          <w:rFonts w:asciiTheme="minorHAnsi" w:hAnsiTheme="minorHAnsi" w:cstheme="minorHAnsi"/>
          <w:sz w:val="22"/>
          <w:szCs w:val="22"/>
        </w:rPr>
        <w:t xml:space="preserve">ts. Om det i svensk- eller unionslagstiftning föreskrivs en </w:t>
      </w:r>
      <w:r w:rsidR="00CD5B29" w:rsidRPr="006E1E8F">
        <w:rPr>
          <w:rFonts w:asciiTheme="minorHAnsi" w:hAnsiTheme="minorHAnsi" w:cstheme="minorHAnsi"/>
          <w:sz w:val="22"/>
          <w:szCs w:val="22"/>
        </w:rPr>
        <w:lastRenderedPageBreak/>
        <w:t>annan ordning än den ovanstående kan den där föreskrivna ordningen tillämpas trots det ovanstående. Tiden för bevarande av handlingar är en minimitid</w:t>
      </w:r>
      <w:r w:rsidR="00CD5B29" w:rsidRPr="00CD5B29">
        <w:rPr>
          <w:rFonts w:asciiTheme="minorHAnsi" w:hAnsiTheme="minorHAnsi" w:cstheme="minorHAnsi"/>
          <w:sz w:val="22"/>
          <w:szCs w:val="22"/>
        </w:rPr>
        <w:t xml:space="preserve"> och gäller under förutsättning att stödmottagaren inte redan är skyldig att bevara handlingarna under längre tid enligt någon annan tillämplig reglering.</w:t>
      </w:r>
      <w:r w:rsidRPr="00CD5B29">
        <w:rPr>
          <w:rFonts w:asciiTheme="minorHAnsi" w:hAnsiTheme="minorHAnsi" w:cstheme="minorHAnsi"/>
          <w:sz w:val="22"/>
          <w:szCs w:val="22"/>
        </w:rPr>
        <w:t xml:space="preserve"> Stödmottagaren ansvarar för att tillhandahålla alla underlag från eventuella projektpartner, underleverantörer, entreprenörer och andra parter.</w:t>
      </w:r>
    </w:p>
    <w:p w14:paraId="0828690F" w14:textId="77777777" w:rsidR="00DD2B5A" w:rsidRPr="00CD5B29" w:rsidRDefault="00DD2B5A" w:rsidP="007816A1">
      <w:pPr>
        <w:pStyle w:val="Liststycke"/>
        <w:numPr>
          <w:ilvl w:val="0"/>
          <w:numId w:val="1"/>
        </w:numPr>
        <w:tabs>
          <w:tab w:val="left" w:pos="6804"/>
        </w:tabs>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För att beviljas utbetalning av stöd ska stödmottagaren rapportera stödberättigande kostnader och rapportera kring projektets verksamhet i rapporteringssystemet under projektets gång.</w:t>
      </w:r>
    </w:p>
    <w:p w14:paraId="11532950"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 xml:space="preserve">Rapportering ska ske enligt rapporteringsplanen i detta beslut. Rapporterna ska upprättas enligt de instruktioner som Polismyndigheten utfärdar vid var tid. </w:t>
      </w:r>
    </w:p>
    <w:p w14:paraId="3E6492C4"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Det ska i enlighet med artiklarna 47 och 50 i förordningen om fastställande av gemensamma bestämmelser tydligt framgå i all Stödmottagarens projektverksamhet att projektet är finansierat av EU.</w:t>
      </w:r>
    </w:p>
    <w:p w14:paraId="335F4597"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 xml:space="preserve">När Polismyndigheten, Ekonomistyrningsverket, EU-kommissionen, </w:t>
      </w:r>
      <w:proofErr w:type="gramStart"/>
      <w:r w:rsidRPr="00CD5B29">
        <w:rPr>
          <w:rFonts w:asciiTheme="minorHAnsi" w:hAnsiTheme="minorHAnsi" w:cstheme="minorHAnsi"/>
          <w:sz w:val="22"/>
          <w:szCs w:val="22"/>
        </w:rPr>
        <w:t>Europeiska</w:t>
      </w:r>
      <w:proofErr w:type="gramEnd"/>
      <w:r w:rsidRPr="00CD5B29">
        <w:rPr>
          <w:rFonts w:asciiTheme="minorHAnsi" w:hAnsiTheme="minorHAnsi" w:cstheme="minorHAnsi"/>
          <w:sz w:val="22"/>
          <w:szCs w:val="22"/>
        </w:rPr>
        <w:t xml:space="preserve"> revisionsrätten, Europeiska byrån för bedrägeribekämpning (OLAF) eller behöriga företrädare för någon av dessa genomför utvärderingar eller kontroller av projektverksamheten, så är Stödmottagaren, dennes projektpartners och underentreprenörer skyldiga att tillhandahålla alla dokument som rör Projektet till myndigheternas representanter eller till de oberoende granskare som anlitats. Stödmottagaren ska vara behjälplig i alla avseenden så att arbetet med kontroller/utvärderingar underlättas och kan genomföras på ett smidigt sätt. </w:t>
      </w:r>
    </w:p>
    <w:p w14:paraId="68FD8A45"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Stödmottagaren ska skriftligen snarast meddela Polismyndigheten om förutsättningarna för projektet ändras, om stödmottagare önskar avbryta projektet eller om andra ändringar av betydelse för projektet.</w:t>
      </w:r>
    </w:p>
    <w:p w14:paraId="61AE5FCB" w14:textId="77777777" w:rsidR="00DD2B5A" w:rsidRPr="00CD5B29" w:rsidRDefault="00DD2B5A" w:rsidP="007816A1">
      <w:pPr>
        <w:pStyle w:val="Liststycke"/>
        <w:numPr>
          <w:ilvl w:val="0"/>
          <w:numId w:val="1"/>
        </w:numPr>
        <w:spacing w:after="120" w:line="276" w:lineRule="auto"/>
        <w:ind w:left="1134" w:right="1134" w:hanging="709"/>
        <w:rPr>
          <w:rFonts w:asciiTheme="minorHAnsi" w:hAnsiTheme="minorHAnsi" w:cstheme="minorHAnsi"/>
          <w:sz w:val="22"/>
          <w:szCs w:val="22"/>
        </w:rPr>
      </w:pPr>
      <w:r w:rsidRPr="00CD5B29">
        <w:rPr>
          <w:rFonts w:asciiTheme="minorHAnsi" w:hAnsiTheme="minorHAnsi" w:cstheme="minorHAnsi"/>
          <w:sz w:val="22"/>
          <w:szCs w:val="22"/>
        </w:rPr>
        <w:t>Följande ändringar förutsätter en ändring av beslutet om stöd:</w:t>
      </w:r>
    </w:p>
    <w:p w14:paraId="799DC9B5"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Ändring av projektets programindikatorer och projektmål.</w:t>
      </w:r>
    </w:p>
    <w:p w14:paraId="3550123A"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Projektets genomförandetid.</w:t>
      </w:r>
    </w:p>
    <w:p w14:paraId="5BD7FD15"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 xml:space="preserve">Ändringar avseende projektets budget, förutom om kostnaderna i ett enskilt kostnadsslag överstiger budget med mindre än 20 procent. Oavsett detta krävs ingen ändring av beslutet om kostnadsslaget överskrids med mindre än 50 000 </w:t>
      </w:r>
      <w:r w:rsidRPr="00CD5B29">
        <w:rPr>
          <w:rFonts w:asciiTheme="minorHAnsi" w:hAnsiTheme="minorHAnsi" w:cstheme="minorHAnsi"/>
          <w:sz w:val="22"/>
          <w:szCs w:val="22"/>
        </w:rPr>
        <w:lastRenderedPageBreak/>
        <w:t>kronor. Överföring av medel mellan budgetår kräver inte ändring av detta beslut.</w:t>
      </w:r>
    </w:p>
    <w:p w14:paraId="0814E972"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Ändring av projektets finansiering, inklusive medfinansiering.</w:t>
      </w:r>
    </w:p>
    <w:p w14:paraId="254C7396"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 xml:space="preserve">Väsentliga ändringar i projektorganisationen, exempelvis om en projektpartner faller bort eller byts ut. </w:t>
      </w:r>
    </w:p>
    <w:p w14:paraId="00FB0BAD"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Om stödmottagares verksamhet helt eller delvis överlåts, eller på annat sätt övergår till annan juridisk eller fysisk person.</w:t>
      </w:r>
    </w:p>
    <w:p w14:paraId="39FB9895"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Ändringar avseende hur kostnader ersätts i projektet.</w:t>
      </w:r>
    </w:p>
    <w:p w14:paraId="04195078" w14:textId="77777777" w:rsidR="00DD2B5A" w:rsidRPr="00CD5B29" w:rsidRDefault="00DD2B5A" w:rsidP="007816A1">
      <w:pPr>
        <w:pStyle w:val="Liststycke"/>
        <w:numPr>
          <w:ilvl w:val="1"/>
          <w:numId w:val="1"/>
        </w:numPr>
        <w:spacing w:after="20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Andra ändringar som förvaltande myndighet bedömer har väsentlig betydelse för detta beslut.</w:t>
      </w:r>
    </w:p>
    <w:p w14:paraId="5A30BD58" w14:textId="77777777" w:rsidR="00DD2B5A" w:rsidRPr="00CD5B29" w:rsidRDefault="00DD2B5A" w:rsidP="007816A1">
      <w:pPr>
        <w:pStyle w:val="Liststycke"/>
        <w:numPr>
          <w:ilvl w:val="0"/>
          <w:numId w:val="1"/>
        </w:numPr>
        <w:spacing w:after="120" w:line="276" w:lineRule="auto"/>
        <w:ind w:left="1134" w:right="1134" w:hanging="709"/>
        <w:rPr>
          <w:rFonts w:asciiTheme="minorHAnsi" w:hAnsiTheme="minorHAnsi" w:cstheme="minorHAnsi"/>
          <w:sz w:val="22"/>
          <w:szCs w:val="22"/>
        </w:rPr>
      </w:pPr>
      <w:r w:rsidRPr="00CD5B29">
        <w:rPr>
          <w:rFonts w:asciiTheme="minorHAnsi" w:hAnsiTheme="minorHAnsi" w:cstheme="minorHAnsi"/>
          <w:sz w:val="22"/>
          <w:szCs w:val="22"/>
        </w:rPr>
        <w:t>Stödmottagaren ska snarast skriftligen meddela Polismyndigheten om ändring av stödmottagares:</w:t>
      </w:r>
    </w:p>
    <w:p w14:paraId="1ADCCA30"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namn,</w:t>
      </w:r>
    </w:p>
    <w:p w14:paraId="23455886"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adress,</w:t>
      </w:r>
    </w:p>
    <w:p w14:paraId="3661D24A"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plusgiro eller bankgiro,</w:t>
      </w:r>
    </w:p>
    <w:p w14:paraId="61CD30E8"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behörig företrädare, eller</w:t>
      </w:r>
    </w:p>
    <w:p w14:paraId="17DA0DD3" w14:textId="77777777" w:rsidR="00DD2B5A" w:rsidRPr="00CD5B29" w:rsidRDefault="00DD2B5A" w:rsidP="007816A1">
      <w:pPr>
        <w:pStyle w:val="Liststycke"/>
        <w:numPr>
          <w:ilvl w:val="1"/>
          <w:numId w:val="1"/>
        </w:numPr>
        <w:spacing w:after="20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andra uppgifter som har betydelse i projektet.</w:t>
      </w:r>
    </w:p>
    <w:p w14:paraId="23510D74" w14:textId="77777777" w:rsidR="00196D42" w:rsidRPr="00CD5B29" w:rsidRDefault="00DD2B5A" w:rsidP="007816A1">
      <w:pPr>
        <w:pStyle w:val="Liststycke"/>
        <w:numPr>
          <w:ilvl w:val="0"/>
          <w:numId w:val="1"/>
        </w:numPr>
        <w:ind w:left="1134" w:right="1134" w:hanging="708"/>
        <w:rPr>
          <w:rFonts w:asciiTheme="minorHAnsi" w:hAnsiTheme="minorHAnsi" w:cstheme="minorHAnsi"/>
          <w:sz w:val="22"/>
          <w:szCs w:val="22"/>
        </w:rPr>
      </w:pPr>
      <w:r w:rsidRPr="00CD5B29">
        <w:rPr>
          <w:rFonts w:asciiTheme="minorHAnsi" w:hAnsiTheme="minorHAnsi" w:cstheme="minorHAnsi"/>
          <w:sz w:val="22"/>
          <w:szCs w:val="22"/>
        </w:rPr>
        <w:t xml:space="preserve">Stödmottagaren har fått information om Polismyndighetens behandling av personuppgifter i samband med sin ansökan. </w:t>
      </w:r>
    </w:p>
    <w:sectPr w:rsidR="002A0435" w:rsidRPr="00CD5B29" w:rsidSect="00605175">
      <w:headerReference w:type="default" r:id="rId9"/>
      <w:footerReference w:type="default" r:id="rId10"/>
      <w:pgSz w:w="11906" w:h="16838"/>
      <w:pgMar w:top="1984" w:right="1984"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EA62" w14:textId="77777777" w:rsidR="004A63F3" w:rsidRDefault="004A63F3" w:rsidP="004A63F3">
      <w:r>
        <w:separator/>
      </w:r>
    </w:p>
  </w:endnote>
  <w:endnote w:type="continuationSeparator" w:id="0">
    <w:p w14:paraId="1FA8DD36" w14:textId="77777777" w:rsidR="004A63F3" w:rsidRDefault="004A63F3" w:rsidP="004A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851E" w14:textId="77777777" w:rsidR="00CD5B29" w:rsidRDefault="00CD5B29" w:rsidP="00CD5B29">
    <w:pPr>
      <w:pStyle w:val="Sidfot"/>
    </w:pPr>
  </w:p>
  <w:p w14:paraId="73378CAA" w14:textId="1B1BB2C1" w:rsidR="00CD5B29" w:rsidRDefault="00CD5B29">
    <w:pPr>
      <w:pStyle w:val="Sidfot"/>
    </w:pPr>
    <w:r>
      <w:t>Version 2025:1</w:t>
    </w:r>
    <w:r w:rsidR="00196D42">
      <w:t>a</w:t>
    </w:r>
    <w:r>
      <w:tab/>
    </w:r>
    <w:r>
      <w:tab/>
      <w:t xml:space="preserve">Sida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av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F187" w14:textId="77777777" w:rsidR="004A63F3" w:rsidRDefault="004A63F3" w:rsidP="004A63F3">
      <w:r>
        <w:separator/>
      </w:r>
    </w:p>
  </w:footnote>
  <w:footnote w:type="continuationSeparator" w:id="0">
    <w:p w14:paraId="495F98CE" w14:textId="77777777" w:rsidR="004A63F3" w:rsidRDefault="004A63F3" w:rsidP="004A6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CE93" w14:textId="77777777" w:rsidR="004A63F3" w:rsidRPr="008A6E06" w:rsidRDefault="004A63F3" w:rsidP="004A63F3">
    <w:pPr>
      <w:tabs>
        <w:tab w:val="left" w:pos="6946"/>
        <w:tab w:val="right" w:pos="8504"/>
      </w:tabs>
      <w:ind w:left="-709"/>
      <w:rPr>
        <w:rStyle w:val="Sidnummer"/>
        <w:b/>
      </w:rPr>
    </w:pPr>
  </w:p>
  <w:tbl>
    <w:tblPr>
      <w:tblStyle w:val="Tabellrutnt"/>
      <w:tblpPr w:leftFromText="142" w:rightFromText="142" w:vertAnchor="page" w:horzAnchor="margin" w:tblpXSpec="center" w:tblpY="483"/>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ell med logotyp och dokumentuppgifter"/>
      <w:tblDescription w:val="Tabell med logotyp och dokumentuppgifter"/>
    </w:tblPr>
    <w:tblGrid>
      <w:gridCol w:w="4253"/>
      <w:gridCol w:w="5670"/>
    </w:tblGrid>
    <w:tr w:rsidR="00CD5B29" w:rsidRPr="00EE4924" w14:paraId="57A074CA" w14:textId="77777777" w:rsidTr="001A783D">
      <w:trPr>
        <w:trHeight w:val="1418"/>
      </w:trPr>
      <w:tc>
        <w:tcPr>
          <w:tcW w:w="4253" w:type="dxa"/>
        </w:tcPr>
        <w:p w14:paraId="1B9ECCD3" w14:textId="77777777" w:rsidR="00CD5B29" w:rsidRPr="00EE4924" w:rsidRDefault="00CD5B29" w:rsidP="00CD5B29">
          <w:pPr>
            <w:pStyle w:val="Sidhuvudlogotyp"/>
            <w:framePr w:hSpace="0" w:wrap="auto" w:vAnchor="margin" w:xAlign="left" w:yAlign="inline"/>
            <w:spacing w:after="10"/>
            <w:suppressOverlap w:val="0"/>
          </w:pPr>
          <w:bookmarkStart w:id="0" w:name="QPol_logotyp"/>
          <w:bookmarkStart w:id="1" w:name="_Hlk192586451"/>
          <w:r w:rsidRPr="00EE4924">
            <w:drawing>
              <wp:inline distT="0" distB="0" distL="0" distR="0" wp14:anchorId="5602655C" wp14:editId="34F7559C">
                <wp:extent cx="2028825" cy="754580"/>
                <wp:effectExtent l="0" t="0" r="0" b="7620"/>
                <wp:docPr id="5" name="logotyp" descr="Poli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 descr="Polisens logoty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317" cy="756995"/>
                        </a:xfrm>
                        <a:prstGeom prst="rect">
                          <a:avLst/>
                        </a:prstGeom>
                      </pic:spPr>
                    </pic:pic>
                  </a:graphicData>
                </a:graphic>
              </wp:inline>
            </w:drawing>
          </w:r>
          <w:bookmarkEnd w:id="0"/>
        </w:p>
      </w:tc>
      <w:tc>
        <w:tcPr>
          <w:tcW w:w="5670" w:type="dxa"/>
          <w:tcMar>
            <w:right w:w="11" w:type="dxa"/>
          </w:tcMar>
        </w:tcPr>
        <w:p w14:paraId="36247206" w14:textId="77777777" w:rsidR="00CD5B29" w:rsidRPr="00EE4924" w:rsidRDefault="00CD5B29" w:rsidP="00CD5B29">
          <w:pPr>
            <w:pStyle w:val="Sidhuvuddokumentyp"/>
            <w:framePr w:hSpace="0" w:wrap="auto" w:vAnchor="margin" w:xAlign="left" w:yAlign="inline"/>
            <w:suppressOverlap w:val="0"/>
          </w:pPr>
          <w:r>
            <w:drawing>
              <wp:anchor distT="0" distB="0" distL="114300" distR="114300" simplePos="0" relativeHeight="251659264" behindDoc="1" locked="0" layoutInCell="1" allowOverlap="1" wp14:anchorId="0F9C1DB0" wp14:editId="732B9E82">
                <wp:simplePos x="0" y="0"/>
                <wp:positionH relativeFrom="page">
                  <wp:posOffset>234950</wp:posOffset>
                </wp:positionH>
                <wp:positionV relativeFrom="page">
                  <wp:posOffset>113030</wp:posOffset>
                </wp:positionV>
                <wp:extent cx="3117938" cy="691417"/>
                <wp:effectExtent l="0" t="0" r="0" b="0"/>
                <wp:wrapNone/>
                <wp:docPr id="6"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160924" cy="700949"/>
                        </a:xfrm>
                        <a:prstGeom prst="rect">
                          <a:avLst/>
                        </a:prstGeom>
                        <a:noFill/>
                      </pic:spPr>
                    </pic:pic>
                  </a:graphicData>
                </a:graphic>
                <wp14:sizeRelH relativeFrom="page">
                  <wp14:pctWidth>0</wp14:pctWidth>
                </wp14:sizeRelH>
                <wp14:sizeRelV relativeFrom="page">
                  <wp14:pctHeight>0</wp14:pctHeight>
                </wp14:sizeRelV>
              </wp:anchor>
            </w:drawing>
          </w:r>
          <w:r w:rsidRPr="00EE4924">
            <w:fldChar w:fldCharType="begin"/>
          </w:r>
          <w:r w:rsidRPr="00EE4924">
            <w:instrText xml:space="preserve"> DOCPROPERTY  SG_Dokumenttyp  </w:instrText>
          </w:r>
          <w:r w:rsidRPr="00EE4924">
            <w:fldChar w:fldCharType="end"/>
          </w:r>
        </w:p>
        <w:p w14:paraId="2F3732F0" w14:textId="77777777" w:rsidR="00CD5B29" w:rsidRPr="00EE4924" w:rsidRDefault="00CD5B29" w:rsidP="00CD5B29">
          <w:pPr>
            <w:pStyle w:val="Sidhuvudradunderdokumenttyp"/>
            <w:framePr w:hSpace="0" w:wrap="auto" w:vAnchor="margin" w:xAlign="left" w:yAlign="inline"/>
            <w:suppressOverlap w:val="0"/>
          </w:pPr>
        </w:p>
        <w:p w14:paraId="73A9E418" w14:textId="77777777" w:rsidR="00CD5B29" w:rsidRPr="00EE4924" w:rsidRDefault="00CD5B29" w:rsidP="00CD5B29">
          <w:pPr>
            <w:pStyle w:val="SidhuvudInformationsklass"/>
            <w:framePr w:hSpace="0" w:wrap="auto" w:vAnchor="margin" w:xAlign="left" w:yAlign="inline"/>
            <w:ind w:right="57"/>
            <w:suppressOverlap w:val="0"/>
            <w:rPr>
              <w:bCs/>
            </w:rPr>
          </w:pPr>
        </w:p>
      </w:tc>
    </w:tr>
    <w:bookmarkEnd w:id="1"/>
  </w:tbl>
  <w:p w14:paraId="41AD3DD4" w14:textId="77777777" w:rsidR="004A63F3" w:rsidRDefault="004A63F3" w:rsidP="004A63F3">
    <w:pPr>
      <w:pStyle w:val="Sidhuvud"/>
    </w:pPr>
  </w:p>
  <w:p w14:paraId="2E29BCB1" w14:textId="77777777" w:rsidR="004A63F3" w:rsidRDefault="004A63F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D4D1F"/>
    <w:multiLevelType w:val="hybridMultilevel"/>
    <w:tmpl w:val="D36EC76A"/>
    <w:lvl w:ilvl="0" w:tplc="D7BE2588">
      <w:start w:val="1"/>
      <w:numFmt w:val="decimal"/>
      <w:lvlText w:val="%1."/>
      <w:lvlJc w:val="left"/>
      <w:pPr>
        <w:ind w:left="1660" w:hanging="1300"/>
      </w:pPr>
      <w:rPr>
        <w:rFonts w:ascii="Times New Roman" w:hAnsi="Times New Roman" w:cs="Times New Roman" w:hint="default"/>
        <w:sz w:val="24"/>
        <w:szCs w:val="24"/>
      </w:rPr>
    </w:lvl>
    <w:lvl w:ilvl="1" w:tplc="A06A77F2">
      <w:start w:val="1"/>
      <w:numFmt w:val="lowerLetter"/>
      <w:lvlText w:val="%2."/>
      <w:lvlJc w:val="left"/>
      <w:pPr>
        <w:ind w:left="2380" w:hanging="1300"/>
      </w:pPr>
    </w:lvl>
    <w:lvl w:ilvl="2" w:tplc="1348EECA">
      <w:start w:val="1"/>
      <w:numFmt w:val="lowerRoman"/>
      <w:lvlText w:val="%3."/>
      <w:lvlJc w:val="right"/>
      <w:pPr>
        <w:ind w:left="2160" w:hanging="180"/>
      </w:pPr>
    </w:lvl>
    <w:lvl w:ilvl="3" w:tplc="61661AF6">
      <w:start w:val="1"/>
      <w:numFmt w:val="decimal"/>
      <w:lvlText w:val="%4."/>
      <w:lvlJc w:val="left"/>
      <w:pPr>
        <w:ind w:left="2880" w:hanging="360"/>
      </w:pPr>
    </w:lvl>
    <w:lvl w:ilvl="4" w:tplc="969083E0">
      <w:start w:val="1"/>
      <w:numFmt w:val="lowerLetter"/>
      <w:lvlText w:val="%5."/>
      <w:lvlJc w:val="left"/>
      <w:pPr>
        <w:ind w:left="3600" w:hanging="360"/>
      </w:pPr>
    </w:lvl>
    <w:lvl w:ilvl="5" w:tplc="A53EA8E6">
      <w:start w:val="1"/>
      <w:numFmt w:val="lowerRoman"/>
      <w:lvlText w:val="%6."/>
      <w:lvlJc w:val="right"/>
      <w:pPr>
        <w:ind w:left="4320" w:hanging="180"/>
      </w:pPr>
    </w:lvl>
    <w:lvl w:ilvl="6" w:tplc="1018AB36">
      <w:start w:val="1"/>
      <w:numFmt w:val="decimal"/>
      <w:lvlText w:val="%7."/>
      <w:lvlJc w:val="left"/>
      <w:pPr>
        <w:ind w:left="5040" w:hanging="360"/>
      </w:pPr>
    </w:lvl>
    <w:lvl w:ilvl="7" w:tplc="ACF26846">
      <w:start w:val="1"/>
      <w:numFmt w:val="lowerLetter"/>
      <w:lvlText w:val="%8."/>
      <w:lvlJc w:val="left"/>
      <w:pPr>
        <w:ind w:left="5760" w:hanging="360"/>
      </w:pPr>
    </w:lvl>
    <w:lvl w:ilvl="8" w:tplc="C902095C">
      <w:start w:val="1"/>
      <w:numFmt w:val="lowerRoman"/>
      <w:lvlText w:val="%9."/>
      <w:lvlJc w:val="right"/>
      <w:pPr>
        <w:ind w:left="6480" w:hanging="180"/>
      </w:pPr>
    </w:lvl>
  </w:abstractNum>
  <w:num w:numId="1" w16cid:durableId="712929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5A"/>
    <w:rsid w:val="00011DA9"/>
    <w:rsid w:val="000D749B"/>
    <w:rsid w:val="001654E4"/>
    <w:rsid w:val="00196D42"/>
    <w:rsid w:val="00262410"/>
    <w:rsid w:val="00414071"/>
    <w:rsid w:val="004A63F3"/>
    <w:rsid w:val="005127AC"/>
    <w:rsid w:val="00605175"/>
    <w:rsid w:val="006E1E8F"/>
    <w:rsid w:val="00744465"/>
    <w:rsid w:val="007816A1"/>
    <w:rsid w:val="007839F5"/>
    <w:rsid w:val="009A5716"/>
    <w:rsid w:val="00A977D9"/>
    <w:rsid w:val="00CD5B29"/>
    <w:rsid w:val="00D90A87"/>
    <w:rsid w:val="00DD2B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F69F29"/>
  <w15:chartTrackingRefBased/>
  <w15:docId w15:val="{EDE344B9-C513-44C3-846E-5972E94C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B5A"/>
    <w:pPr>
      <w:spacing w:after="0" w:line="240" w:lineRule="auto"/>
    </w:pPr>
    <w:rPr>
      <w:rFonts w:ascii="Georgia" w:eastAsia="Times New Roman" w:hAnsi="Georgia" w:cs="Times New Roman"/>
      <w:sz w:val="20"/>
      <w:szCs w:val="20"/>
      <w:lang w:eastAsia="sv-SE"/>
    </w:rPr>
  </w:style>
  <w:style w:type="paragraph" w:styleId="Rubrik1">
    <w:name w:val="heading 1"/>
    <w:basedOn w:val="Normal"/>
    <w:next w:val="Normal"/>
    <w:link w:val="Rubrik1Char"/>
    <w:uiPriority w:val="9"/>
    <w:qFormat/>
    <w:rsid w:val="00CD5B29"/>
    <w:pPr>
      <w:keepNext/>
      <w:keepLines/>
      <w:spacing w:before="240"/>
      <w:outlineLvl w:val="0"/>
    </w:pPr>
    <w:rPr>
      <w:rFonts w:asciiTheme="majorHAnsi" w:eastAsiaTheme="majorEastAsia" w:hAnsiTheme="majorHAnsi" w:cstheme="majorBidi"/>
      <w:color w:val="104373"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D2B5A"/>
    <w:rPr>
      <w:color w:val="0563C1" w:themeColor="hyperlink"/>
      <w:u w:val="single"/>
    </w:rPr>
  </w:style>
  <w:style w:type="paragraph" w:styleId="Liststycke">
    <w:name w:val="List Paragraph"/>
    <w:basedOn w:val="Normal"/>
    <w:uiPriority w:val="34"/>
    <w:rsid w:val="00DD2B5A"/>
    <w:pPr>
      <w:ind w:left="720"/>
      <w:contextualSpacing/>
    </w:pPr>
  </w:style>
  <w:style w:type="paragraph" w:styleId="Sidhuvud">
    <w:name w:val="header"/>
    <w:basedOn w:val="Normal"/>
    <w:link w:val="SidhuvudChar"/>
    <w:uiPriority w:val="99"/>
    <w:unhideWhenUsed/>
    <w:rsid w:val="004A63F3"/>
    <w:pPr>
      <w:tabs>
        <w:tab w:val="center" w:pos="4536"/>
        <w:tab w:val="right" w:pos="9072"/>
      </w:tabs>
    </w:pPr>
  </w:style>
  <w:style w:type="character" w:customStyle="1" w:styleId="SidhuvudChar">
    <w:name w:val="Sidhuvud Char"/>
    <w:basedOn w:val="Standardstycketeckensnitt"/>
    <w:link w:val="Sidhuvud"/>
    <w:uiPriority w:val="99"/>
    <w:rsid w:val="004A63F3"/>
    <w:rPr>
      <w:rFonts w:ascii="Georgia" w:eastAsia="Times New Roman" w:hAnsi="Georgia" w:cs="Times New Roman"/>
      <w:sz w:val="20"/>
      <w:szCs w:val="20"/>
      <w:lang w:eastAsia="sv-SE"/>
    </w:rPr>
  </w:style>
  <w:style w:type="paragraph" w:styleId="Sidfot">
    <w:name w:val="footer"/>
    <w:basedOn w:val="Normal"/>
    <w:link w:val="SidfotChar"/>
    <w:uiPriority w:val="99"/>
    <w:unhideWhenUsed/>
    <w:rsid w:val="004A63F3"/>
    <w:pPr>
      <w:tabs>
        <w:tab w:val="center" w:pos="4536"/>
        <w:tab w:val="right" w:pos="9072"/>
      </w:tabs>
    </w:pPr>
  </w:style>
  <w:style w:type="character" w:customStyle="1" w:styleId="SidfotChar">
    <w:name w:val="Sidfot Char"/>
    <w:basedOn w:val="Standardstycketeckensnitt"/>
    <w:link w:val="Sidfot"/>
    <w:uiPriority w:val="99"/>
    <w:rsid w:val="004A63F3"/>
    <w:rPr>
      <w:rFonts w:ascii="Georgia" w:eastAsia="Times New Roman" w:hAnsi="Georgia" w:cs="Times New Roman"/>
      <w:sz w:val="20"/>
      <w:szCs w:val="20"/>
      <w:lang w:eastAsia="sv-SE"/>
    </w:rPr>
  </w:style>
  <w:style w:type="table" w:styleId="Tabellrutnt">
    <w:name w:val="Table Grid"/>
    <w:basedOn w:val="Normaltabell"/>
    <w:rsid w:val="004A63F3"/>
    <w:pPr>
      <w:spacing w:after="0" w:line="240" w:lineRule="auto"/>
      <w:jc w:val="both"/>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semiHidden/>
    <w:rsid w:val="004A63F3"/>
  </w:style>
  <w:style w:type="paragraph" w:customStyle="1" w:styleId="Sidhuvuddokumentyp">
    <w:name w:val="Sidhuvud_dokumentyp"/>
    <w:basedOn w:val="Sidhuvud"/>
    <w:semiHidden/>
    <w:qFormat/>
    <w:rsid w:val="00CD5B29"/>
    <w:pPr>
      <w:framePr w:hSpace="142" w:wrap="around" w:vAnchor="page" w:hAnchor="text" w:x="-1144" w:y="483"/>
      <w:tabs>
        <w:tab w:val="clear" w:pos="9072"/>
        <w:tab w:val="center" w:pos="3402"/>
        <w:tab w:val="right" w:pos="7655"/>
      </w:tabs>
      <w:spacing w:before="60"/>
      <w:ind w:right="57"/>
      <w:suppressOverlap/>
    </w:pPr>
    <w:rPr>
      <w:rFonts w:ascii="Arial" w:hAnsi="Arial" w:cs="Arial"/>
      <w:b/>
      <w:noProof/>
      <w:sz w:val="22"/>
      <w:szCs w:val="22"/>
    </w:rPr>
  </w:style>
  <w:style w:type="paragraph" w:customStyle="1" w:styleId="SidhuvudInformationsklass">
    <w:name w:val="Sidhuvud_Informationsklass"/>
    <w:basedOn w:val="Sidhuvud"/>
    <w:semiHidden/>
    <w:qFormat/>
    <w:rsid w:val="00CD5B29"/>
    <w:pPr>
      <w:framePr w:hSpace="142" w:wrap="around" w:vAnchor="page" w:hAnchor="text" w:x="-1144" w:y="483"/>
      <w:tabs>
        <w:tab w:val="clear" w:pos="9072"/>
        <w:tab w:val="center" w:pos="3402"/>
        <w:tab w:val="right" w:pos="7655"/>
      </w:tabs>
      <w:spacing w:before="120"/>
      <w:ind w:right="170"/>
      <w:suppressOverlap/>
    </w:pPr>
    <w:rPr>
      <w:rFonts w:ascii="Times New Roman" w:hAnsi="Times New Roman"/>
      <w:noProof/>
      <w:sz w:val="24"/>
      <w:szCs w:val="24"/>
    </w:rPr>
  </w:style>
  <w:style w:type="paragraph" w:customStyle="1" w:styleId="Sidhuvudlogotyp">
    <w:name w:val="Sidhuvud_logotyp"/>
    <w:basedOn w:val="Sidhuvud"/>
    <w:semiHidden/>
    <w:qFormat/>
    <w:rsid w:val="00CD5B29"/>
    <w:pPr>
      <w:framePr w:hSpace="142" w:wrap="around" w:vAnchor="page" w:hAnchor="text" w:x="-1144" w:y="483"/>
      <w:tabs>
        <w:tab w:val="clear" w:pos="9072"/>
        <w:tab w:val="center" w:pos="3402"/>
        <w:tab w:val="right" w:pos="7655"/>
      </w:tabs>
      <w:spacing w:before="70"/>
      <w:ind w:right="170"/>
      <w:suppressOverlap/>
    </w:pPr>
    <w:rPr>
      <w:rFonts w:ascii="Times New Roman" w:hAnsi="Times New Roman"/>
      <w:noProof/>
      <w:sz w:val="24"/>
    </w:rPr>
  </w:style>
  <w:style w:type="paragraph" w:customStyle="1" w:styleId="Sidhuvudradunderdokumenttyp">
    <w:name w:val="Sidhuvud_rad_under_dokumenttyp"/>
    <w:basedOn w:val="Sidhuvud"/>
    <w:semiHidden/>
    <w:qFormat/>
    <w:rsid w:val="00CD5B29"/>
    <w:pPr>
      <w:framePr w:hSpace="142" w:wrap="around" w:vAnchor="page" w:hAnchor="text" w:x="-1144" w:y="483"/>
      <w:tabs>
        <w:tab w:val="clear" w:pos="9072"/>
        <w:tab w:val="center" w:pos="3402"/>
        <w:tab w:val="right" w:pos="7655"/>
      </w:tabs>
      <w:ind w:right="170"/>
      <w:suppressOverlap/>
    </w:pPr>
    <w:rPr>
      <w:rFonts w:ascii="Arial" w:hAnsi="Arial" w:cs="Arial"/>
      <w:bCs/>
      <w:noProof/>
      <w:sz w:val="15"/>
      <w:szCs w:val="15"/>
    </w:rPr>
  </w:style>
  <w:style w:type="character" w:customStyle="1" w:styleId="Rubrik1Char">
    <w:name w:val="Rubrik 1 Char"/>
    <w:basedOn w:val="Standardstycketeckensnitt"/>
    <w:link w:val="Rubrik1"/>
    <w:uiPriority w:val="9"/>
    <w:rsid w:val="00CD5B29"/>
    <w:rPr>
      <w:rFonts w:asciiTheme="majorHAnsi" w:eastAsiaTheme="majorEastAsia" w:hAnsiTheme="majorHAnsi" w:cstheme="majorBidi"/>
      <w:color w:val="104373" w:themeColor="accent1" w:themeShade="BF"/>
      <w:sz w:val="32"/>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sen.se/isfbmvi" TargetMode="External"/><Relationship Id="rId3" Type="http://schemas.openxmlformats.org/officeDocument/2006/relationships/settings" Target="settings.xml"/><Relationship Id="rId7" Type="http://schemas.openxmlformats.org/officeDocument/2006/relationships/hyperlink" Target="http://www.polisen.se/isfbmv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Polisen_Color_Scheme">
      <a:dk1>
        <a:srgbClr val="222222"/>
      </a:dk1>
      <a:lt1>
        <a:srgbClr val="FFFFFF"/>
      </a:lt1>
      <a:dk2>
        <a:srgbClr val="082138"/>
      </a:dk2>
      <a:lt2>
        <a:srgbClr val="F7F7F7"/>
      </a:lt2>
      <a:accent1>
        <a:srgbClr val="165A9B"/>
      </a:accent1>
      <a:accent2>
        <a:srgbClr val="FFCC33"/>
      </a:accent2>
      <a:accent3>
        <a:srgbClr val="FF7D00"/>
      </a:accent3>
      <a:accent4>
        <a:srgbClr val="D5D4D4"/>
      </a:accent4>
      <a:accent5>
        <a:srgbClr val="00B9F6"/>
      </a:accent5>
      <a:accent6>
        <a:srgbClr val="9AC60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4591</Characters>
  <Application>Microsoft Office Word</Application>
  <DocSecurity>0</DocSecurity>
  <Lines>99</Lines>
  <Paragraphs>32</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Carmen Sofia Klett Sarmentero</dc:creator>
  <cp:keywords/>
  <dc:description/>
  <cp:lastModifiedBy>Zebastian Hermansson</cp:lastModifiedBy>
  <cp:revision>12</cp:revision>
  <dcterms:created xsi:type="dcterms:W3CDTF">2024-09-12T14:05:00Z</dcterms:created>
  <dcterms:modified xsi:type="dcterms:W3CDTF">2025-06-02T11:38:00Z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